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7A482" w14:textId="77777777" w:rsidR="002A0F77" w:rsidRDefault="00C711E3">
      <w:pPr>
        <w:jc w:val="center"/>
        <w:rPr>
          <w:rFonts w:ascii="微软雅黑" w:eastAsia="微软雅黑" w:hAnsi="微软雅黑" w:cs="微软雅黑"/>
          <w:i/>
          <w:iCs/>
          <w:sz w:val="16"/>
          <w:szCs w:val="16"/>
        </w:rPr>
      </w:pPr>
      <w:r>
        <w:rPr>
          <w:rFonts w:ascii="微软雅黑" w:eastAsia="微软雅黑" w:hAnsi="微软雅黑" w:cs="微软雅黑" w:hint="eastAsia"/>
          <w:b/>
          <w:bCs/>
          <w:i/>
          <w:iCs/>
          <w:sz w:val="28"/>
          <w:szCs w:val="28"/>
        </w:rPr>
        <w:t>被动红外探测器</w:t>
      </w:r>
    </w:p>
    <w:p w14:paraId="4BBECF37" w14:textId="77777777" w:rsidR="002A0F77" w:rsidRDefault="00C711E3">
      <w:pPr>
        <w:spacing w:line="220" w:lineRule="exact"/>
        <w:ind w:firstLineChars="200" w:firstLine="300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本产品为被动红外+人工智能复合型探测器，才用了先进的信号分析技术。可有效的防止因各种环境因素引起的误报本产品可用于银行、仓库、家庭等场所安全防范。</w:t>
      </w:r>
    </w:p>
    <w:p w14:paraId="72204F77" w14:textId="77777777" w:rsidR="002A0F77" w:rsidRDefault="00C711E3">
      <w:pPr>
        <w:spacing w:line="240" w:lineRule="exac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产品特点</w:t>
      </w:r>
    </w:p>
    <w:p w14:paraId="5C956F68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外观玲珑精巧</w:t>
      </w:r>
    </w:p>
    <w:p w14:paraId="6BDFC743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防干扰能力强</w:t>
      </w:r>
    </w:p>
    <w:p w14:paraId="02EC576B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86盒安装方式，创新插拔连接方式，安装更方便。</w:t>
      </w:r>
    </w:p>
    <w:p w14:paraId="3FE263EF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主动温度弥补，功能稳固</w:t>
      </w:r>
    </w:p>
    <w:p w14:paraId="6B20AD47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探测距离可调，顺应不同环境</w:t>
      </w:r>
    </w:p>
    <w:p w14:paraId="5FA46B63" w14:textId="77777777" w:rsidR="002A0F77" w:rsidRDefault="00C711E3">
      <w:pPr>
        <w:pStyle w:val="a3"/>
        <w:widowControl/>
        <w:numPr>
          <w:ilvl w:val="0"/>
          <w:numId w:val="1"/>
        </w:numPr>
        <w:shd w:val="clear" w:color="auto" w:fill="FFFFFF"/>
        <w:wordWrap w:val="0"/>
        <w:spacing w:beforeAutospacing="0" w:afterAutospacing="0" w:line="22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  <w:shd w:val="clear" w:color="auto" w:fill="FFFFFF"/>
        </w:rPr>
        <w:t>报警输入形式常开/常闭可选</w:t>
      </w:r>
    </w:p>
    <w:p w14:paraId="41B892B3" w14:textId="77777777" w:rsidR="002A0F77" w:rsidRDefault="00C711E3">
      <w:pPr>
        <w:widowControl/>
        <w:numPr>
          <w:ilvl w:val="0"/>
          <w:numId w:val="1"/>
        </w:numPr>
        <w:shd w:val="clear" w:color="auto" w:fill="FFFFFF"/>
        <w:wordWrap w:val="0"/>
        <w:spacing w:line="220" w:lineRule="exact"/>
        <w:jc w:val="left"/>
        <w:rPr>
          <w:rFonts w:ascii="微软雅黑" w:eastAsia="微软雅黑" w:hAnsi="微软雅黑" w:cs="微软雅黑"/>
          <w:kern w:val="0"/>
          <w:sz w:val="15"/>
          <w:szCs w:val="15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kern w:val="0"/>
          <w:sz w:val="15"/>
          <w:szCs w:val="15"/>
          <w:shd w:val="clear" w:color="auto" w:fill="FFFFFF"/>
          <w:lang w:bidi="ar"/>
        </w:rPr>
        <w:t>报警批示灯开/关可选</w:t>
      </w:r>
    </w:p>
    <w:p w14:paraId="60E0BFC8" w14:textId="77777777" w:rsidR="002A0F77" w:rsidRDefault="00C711E3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产品示意图</w:t>
      </w:r>
      <w:r>
        <w:rPr>
          <w:noProof/>
        </w:rPr>
        <w:drawing>
          <wp:inline distT="0" distB="0" distL="114300" distR="114300" wp14:anchorId="32AD1D7D" wp14:editId="36511E2D">
            <wp:extent cx="912495" cy="2771140"/>
            <wp:effectExtent l="0" t="0" r="1016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947" b="2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49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2A44EF" w14:textId="77777777" w:rsidR="002A0F77" w:rsidRDefault="00C711E3">
      <w:pPr>
        <w:rPr>
          <w:rFonts w:ascii="微软雅黑" w:eastAsia="微软雅黑" w:hAnsi="微软雅黑" w:cs="微软雅黑"/>
          <w:b/>
          <w:bCs/>
          <w:sz w:val="15"/>
          <w:szCs w:val="15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产品技术参数</w:t>
      </w:r>
    </w:p>
    <w:tbl>
      <w:tblPr>
        <w:tblStyle w:val="a4"/>
        <w:tblW w:w="4240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178"/>
        <w:gridCol w:w="3062"/>
      </w:tblGrid>
      <w:tr w:rsidR="002A0F77" w14:paraId="50E108DA" w14:textId="77777777">
        <w:trPr>
          <w:trHeight w:val="121"/>
        </w:trPr>
        <w:tc>
          <w:tcPr>
            <w:tcW w:w="1178" w:type="dxa"/>
          </w:tcPr>
          <w:p w14:paraId="55A3402B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工作电压</w:t>
            </w:r>
          </w:p>
        </w:tc>
        <w:tc>
          <w:tcPr>
            <w:tcW w:w="3062" w:type="dxa"/>
          </w:tcPr>
          <w:p w14:paraId="72E18610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DC9V—DC24V</w:t>
            </w:r>
          </w:p>
        </w:tc>
      </w:tr>
      <w:tr w:rsidR="002A0F77" w14:paraId="62A3E53F" w14:textId="77777777">
        <w:trPr>
          <w:trHeight w:val="148"/>
        </w:trPr>
        <w:tc>
          <w:tcPr>
            <w:tcW w:w="1178" w:type="dxa"/>
          </w:tcPr>
          <w:p w14:paraId="641D628B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消耗电流</w:t>
            </w:r>
          </w:p>
        </w:tc>
        <w:tc>
          <w:tcPr>
            <w:tcW w:w="3062" w:type="dxa"/>
          </w:tcPr>
          <w:p w14:paraId="565A560C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≤16mA</w:t>
            </w:r>
          </w:p>
        </w:tc>
      </w:tr>
      <w:tr w:rsidR="002A0F77" w14:paraId="75DDEB6F" w14:textId="77777777">
        <w:tc>
          <w:tcPr>
            <w:tcW w:w="1178" w:type="dxa"/>
          </w:tcPr>
          <w:p w14:paraId="449E8863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探测距离</w:t>
            </w:r>
          </w:p>
        </w:tc>
        <w:tc>
          <w:tcPr>
            <w:tcW w:w="3062" w:type="dxa"/>
          </w:tcPr>
          <w:p w14:paraId="10E32A64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6-8m/8-12m 可选</w:t>
            </w:r>
          </w:p>
        </w:tc>
      </w:tr>
      <w:tr w:rsidR="002A0F77" w14:paraId="64E22342" w14:textId="77777777">
        <w:tc>
          <w:tcPr>
            <w:tcW w:w="1178" w:type="dxa"/>
          </w:tcPr>
          <w:p w14:paraId="5D9DE880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自检时间</w:t>
            </w:r>
          </w:p>
        </w:tc>
        <w:tc>
          <w:tcPr>
            <w:tcW w:w="3062" w:type="dxa"/>
          </w:tcPr>
          <w:p w14:paraId="0DED54FD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≤60S</w:t>
            </w:r>
          </w:p>
        </w:tc>
      </w:tr>
      <w:tr w:rsidR="002A0F77" w14:paraId="73BA0F9A" w14:textId="77777777">
        <w:tc>
          <w:tcPr>
            <w:tcW w:w="1178" w:type="dxa"/>
          </w:tcPr>
          <w:p w14:paraId="526F8167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探测方式</w:t>
            </w:r>
          </w:p>
        </w:tc>
        <w:tc>
          <w:tcPr>
            <w:tcW w:w="3062" w:type="dxa"/>
          </w:tcPr>
          <w:p w14:paraId="1AC431E0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多普勒（效应）+能量分析</w:t>
            </w:r>
          </w:p>
        </w:tc>
      </w:tr>
      <w:tr w:rsidR="002A0F77" w14:paraId="027E7EC7" w14:textId="77777777">
        <w:tc>
          <w:tcPr>
            <w:tcW w:w="1178" w:type="dxa"/>
          </w:tcPr>
          <w:p w14:paraId="43F56DBF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红外传感器</w:t>
            </w:r>
          </w:p>
        </w:tc>
        <w:tc>
          <w:tcPr>
            <w:tcW w:w="3062" w:type="dxa"/>
          </w:tcPr>
          <w:p w14:paraId="39801A52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双元低噪声热释电红外传感器</w:t>
            </w:r>
          </w:p>
        </w:tc>
      </w:tr>
      <w:tr w:rsidR="002A0F77" w14:paraId="395378E8" w14:textId="77777777">
        <w:tc>
          <w:tcPr>
            <w:tcW w:w="1178" w:type="dxa"/>
          </w:tcPr>
          <w:p w14:paraId="49D25A9B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安装方式</w:t>
            </w:r>
          </w:p>
        </w:tc>
        <w:tc>
          <w:tcPr>
            <w:tcW w:w="3062" w:type="dxa"/>
          </w:tcPr>
          <w:p w14:paraId="25EABCA3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壁挂 / 吸顶</w:t>
            </w:r>
          </w:p>
        </w:tc>
      </w:tr>
      <w:tr w:rsidR="002A0F77" w14:paraId="1D32B41C" w14:textId="77777777">
        <w:tc>
          <w:tcPr>
            <w:tcW w:w="1178" w:type="dxa"/>
          </w:tcPr>
          <w:p w14:paraId="52521EE4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安装高度</w:t>
            </w:r>
          </w:p>
        </w:tc>
        <w:tc>
          <w:tcPr>
            <w:tcW w:w="3062" w:type="dxa"/>
          </w:tcPr>
          <w:p w14:paraId="3377FD07" w14:textId="77777777" w:rsidR="002A0F77" w:rsidRDefault="00C711E3">
            <w:pPr>
              <w:spacing w:line="220" w:lineRule="exact"/>
              <w:jc w:val="lef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壁挂2.2m左右/吸顶2.5m-3.6m</w:t>
            </w:r>
          </w:p>
        </w:tc>
      </w:tr>
      <w:tr w:rsidR="002A0F77" w14:paraId="6F73CEB4" w14:textId="77777777">
        <w:tc>
          <w:tcPr>
            <w:tcW w:w="1178" w:type="dxa"/>
          </w:tcPr>
          <w:p w14:paraId="3D346359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工作温度</w:t>
            </w:r>
          </w:p>
        </w:tc>
        <w:tc>
          <w:tcPr>
            <w:tcW w:w="3062" w:type="dxa"/>
          </w:tcPr>
          <w:p w14:paraId="1DD42A9F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-10℃—50℃</w:t>
            </w:r>
          </w:p>
        </w:tc>
      </w:tr>
      <w:tr w:rsidR="002A0F77" w14:paraId="22B49077" w14:textId="77777777">
        <w:tc>
          <w:tcPr>
            <w:tcW w:w="1178" w:type="dxa"/>
          </w:tcPr>
          <w:p w14:paraId="48CDD164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继电器输出</w:t>
            </w:r>
          </w:p>
        </w:tc>
        <w:tc>
          <w:tcPr>
            <w:tcW w:w="3062" w:type="dxa"/>
          </w:tcPr>
          <w:p w14:paraId="1AE6C8DD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 xml:space="preserve">常开/常闭可选，容量28VDC 100mA </w:t>
            </w:r>
          </w:p>
        </w:tc>
      </w:tr>
      <w:tr w:rsidR="002A0F77" w14:paraId="69DFE1D8" w14:textId="77777777">
        <w:trPr>
          <w:trHeight w:val="236"/>
        </w:trPr>
        <w:tc>
          <w:tcPr>
            <w:tcW w:w="1178" w:type="dxa"/>
          </w:tcPr>
          <w:p w14:paraId="0416F854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防拆开关</w:t>
            </w:r>
          </w:p>
        </w:tc>
        <w:tc>
          <w:tcPr>
            <w:tcW w:w="3062" w:type="dxa"/>
          </w:tcPr>
          <w:p w14:paraId="004172DB" w14:textId="77777777" w:rsidR="002A0F77" w:rsidRDefault="00C711E3">
            <w:pPr>
              <w:spacing w:line="220" w:lineRule="exact"/>
              <w:rPr>
                <w:rFonts w:ascii="微软雅黑" w:eastAsia="微软雅黑" w:hAnsi="微软雅黑" w:cs="微软雅黑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sz w:val="15"/>
                <w:szCs w:val="15"/>
              </w:rPr>
              <w:t>常闭，接点容量28VDC 100mA</w:t>
            </w:r>
          </w:p>
        </w:tc>
      </w:tr>
    </w:tbl>
    <w:p w14:paraId="4CE814B4" w14:textId="77777777" w:rsidR="002A0F77" w:rsidRDefault="002A0F77">
      <w:pPr>
        <w:spacing w:line="360" w:lineRule="auto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</w:p>
    <w:p w14:paraId="7E6F2191" w14:textId="77777777" w:rsidR="002A0F77" w:rsidRDefault="00C711E3">
      <w:pPr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产品监测范围图</w:t>
      </w:r>
    </w:p>
    <w:p w14:paraId="0867B243" w14:textId="77777777" w:rsidR="002A0F77" w:rsidRDefault="00C711E3">
      <w:pPr>
        <w:spacing w:line="240" w:lineRule="exact"/>
        <w:jc w:val="left"/>
        <w:rPr>
          <w:rFonts w:ascii="微软雅黑" w:eastAsia="微软雅黑" w:hAnsi="微软雅黑" w:cs="微软雅黑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131776" behindDoc="0" locked="0" layoutInCell="1" allowOverlap="1" wp14:anchorId="60FF6F0D" wp14:editId="4254233C">
            <wp:simplePos x="0" y="0"/>
            <wp:positionH relativeFrom="column">
              <wp:posOffset>464820</wp:posOffset>
            </wp:positionH>
            <wp:positionV relativeFrom="paragraph">
              <wp:posOffset>-287020</wp:posOffset>
            </wp:positionV>
            <wp:extent cx="1591310" cy="2501900"/>
            <wp:effectExtent l="0" t="0" r="12700" b="8890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1070" t="71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131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16"/>
          <w:szCs w:val="16"/>
        </w:rPr>
        <w:t>广角式</w:t>
      </w:r>
    </w:p>
    <w:p w14:paraId="0D2E6E1D" w14:textId="77777777" w:rsidR="002A0F77" w:rsidRDefault="00C711E3">
      <w:pPr>
        <w:spacing w:line="240" w:lineRule="exact"/>
        <w:jc w:val="left"/>
        <w:rPr>
          <w:rFonts w:ascii="微软雅黑" w:eastAsia="微软雅黑" w:hAnsi="微软雅黑" w:cs="微软雅黑"/>
          <w:b/>
          <w:bCs/>
          <w:sz w:val="16"/>
          <w:szCs w:val="16"/>
        </w:rPr>
      </w:pPr>
      <w:r>
        <w:rPr>
          <w:rFonts w:ascii="微软雅黑" w:eastAsia="微软雅黑" w:hAnsi="微软雅黑" w:cs="微软雅黑" w:hint="eastAsia"/>
          <w:b/>
          <w:bCs/>
          <w:sz w:val="16"/>
          <w:szCs w:val="16"/>
        </w:rPr>
        <w:t>幕帘式</w:t>
      </w:r>
    </w:p>
    <w:p w14:paraId="494303BC" w14:textId="77777777" w:rsidR="002A0F77" w:rsidRDefault="00C711E3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noProof/>
        </w:rPr>
        <w:drawing>
          <wp:inline distT="0" distB="0" distL="114300" distR="114300" wp14:anchorId="30D882A6" wp14:editId="7D18E993">
            <wp:extent cx="1385570" cy="2666365"/>
            <wp:effectExtent l="0" t="0" r="63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557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F31BCA" w14:textId="77777777" w:rsidR="002A0F77" w:rsidRDefault="00C711E3">
      <w:pPr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产品接线示意图</w:t>
      </w:r>
    </w:p>
    <w:p w14:paraId="4B7DDBB7" w14:textId="77777777" w:rsidR="002A0F77" w:rsidRDefault="00C711E3">
      <w:pPr>
        <w:spacing w:line="200" w:lineRule="exact"/>
        <w:jc w:val="right"/>
        <w:rPr>
          <w:rFonts w:ascii="微软雅黑" w:eastAsia="微软雅黑" w:hAnsi="微软雅黑" w:cs="微软雅黑"/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3130752" behindDoc="0" locked="0" layoutInCell="1" allowOverlap="1" wp14:anchorId="3FC5B359" wp14:editId="1E7E3C6B">
            <wp:simplePos x="0" y="0"/>
            <wp:positionH relativeFrom="column">
              <wp:posOffset>477520</wp:posOffset>
            </wp:positionH>
            <wp:positionV relativeFrom="paragraph">
              <wp:posOffset>-417830</wp:posOffset>
            </wp:positionV>
            <wp:extent cx="615315" cy="1481455"/>
            <wp:effectExtent l="0" t="0" r="4445" b="13335"/>
            <wp:wrapSquare wrapText="bothSides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31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15"/>
          <w:szCs w:val="15"/>
        </w:rPr>
        <w:t>TAMPER：防拆开关</w:t>
      </w:r>
    </w:p>
    <w:p w14:paraId="3662D253" w14:textId="77777777" w:rsidR="002A0F77" w:rsidRDefault="00C711E3">
      <w:pPr>
        <w:spacing w:line="200" w:lineRule="exact"/>
        <w:jc w:val="righ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ALARM：继电器输出</w:t>
      </w:r>
    </w:p>
    <w:p w14:paraId="082B81A3" w14:textId="77777777" w:rsidR="002A0F77" w:rsidRDefault="00C711E3">
      <w:pPr>
        <w:spacing w:line="200" w:lineRule="exact"/>
        <w:jc w:val="righ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GND：电源负极</w:t>
      </w:r>
    </w:p>
    <w:p w14:paraId="081908A2" w14:textId="77777777" w:rsidR="002A0F77" w:rsidRDefault="00C711E3">
      <w:pPr>
        <w:spacing w:line="200" w:lineRule="exact"/>
        <w:jc w:val="righ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+12V：电源正极</w:t>
      </w:r>
    </w:p>
    <w:p w14:paraId="436CEE17" w14:textId="77777777" w:rsidR="002A0F77" w:rsidRDefault="002A0F77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</w:p>
    <w:p w14:paraId="44F6CDE2" w14:textId="77777777" w:rsidR="002A0F77" w:rsidRDefault="00C711E3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安装说明</w:t>
      </w:r>
    </w:p>
    <w:p w14:paraId="4B4535A9" w14:textId="77777777" w:rsidR="002A0F77" w:rsidRDefault="00C711E3">
      <w:pPr>
        <w:numPr>
          <w:ilvl w:val="0"/>
          <w:numId w:val="2"/>
        </w:numPr>
        <w:spacing w:line="22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选择合理的安装位置：</w:t>
      </w:r>
    </w:p>
    <w:p w14:paraId="39287713" w14:textId="77777777" w:rsidR="002A0F77" w:rsidRDefault="00C711E3">
      <w:pPr>
        <w:spacing w:line="22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安装位置避免靠近空调 电风扇，电冰箱等温度变化很大的地方，避免太阳直射的地方。壁挂安装建议高度2.2M左右，吸顶安装建议高度2.5M-3.6M。</w:t>
      </w:r>
    </w:p>
    <w:p w14:paraId="606CF635" w14:textId="77777777" w:rsidR="002A0F77" w:rsidRDefault="00C711E3">
      <w:pPr>
        <w:numPr>
          <w:ilvl w:val="0"/>
          <w:numId w:val="2"/>
        </w:numPr>
        <w:spacing w:line="22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3132800" behindDoc="0" locked="0" layoutInCell="1" allowOverlap="1" wp14:anchorId="6BE09B9A" wp14:editId="22BE4EC5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2695575" cy="2783840"/>
            <wp:effectExtent l="0" t="0" r="16510" b="952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57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15"/>
          <w:szCs w:val="15"/>
        </w:rPr>
        <w:t>安装方法：</w:t>
      </w:r>
      <w:r>
        <w:rPr>
          <w:noProof/>
          <w:sz w:val="15"/>
          <w:szCs w:val="15"/>
        </w:rPr>
        <w:drawing>
          <wp:inline distT="0" distB="0" distL="114300" distR="114300" wp14:anchorId="79E09DBA" wp14:editId="390FD152">
            <wp:extent cx="635" cy="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2E3515" w14:textId="77777777" w:rsidR="002A0F77" w:rsidRDefault="00C711E3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noProof/>
          <w:sz w:val="15"/>
          <w:szCs w:val="15"/>
        </w:rPr>
        <w:drawing>
          <wp:inline distT="0" distB="0" distL="114300" distR="114300" wp14:anchorId="2EDE0E3B" wp14:editId="17D4C64D">
            <wp:extent cx="635" cy="0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产品测试与使用</w:t>
      </w:r>
    </w:p>
    <w:p w14:paraId="3AB73AB3" w14:textId="77777777" w:rsidR="002A0F77" w:rsidRDefault="00C711E3">
      <w:pPr>
        <w:numPr>
          <w:ilvl w:val="0"/>
          <w:numId w:val="3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接通12V直流电源红色发光二极管常亮,探测器进入自检状态，自检时间约60S，指示灯</w:t>
      </w:r>
      <w:proofErr w:type="gramStart"/>
      <w:r>
        <w:rPr>
          <w:rFonts w:ascii="微软雅黑" w:eastAsia="微软雅黑" w:hAnsi="微软雅黑" w:cs="微软雅黑" w:hint="eastAsia"/>
          <w:sz w:val="15"/>
          <w:szCs w:val="15"/>
        </w:rPr>
        <w:t>灭</w:t>
      </w:r>
      <w:proofErr w:type="gramEnd"/>
      <w:r>
        <w:rPr>
          <w:rFonts w:ascii="微软雅黑" w:eastAsia="微软雅黑" w:hAnsi="微软雅黑" w:cs="微软雅黑" w:hint="eastAsia"/>
          <w:sz w:val="15"/>
          <w:szCs w:val="15"/>
        </w:rPr>
        <w:t>表示探测器进入正常监测状态。</w:t>
      </w:r>
    </w:p>
    <w:p w14:paraId="2253B73A" w14:textId="77777777" w:rsidR="002A0F77" w:rsidRDefault="00C711E3">
      <w:pPr>
        <w:numPr>
          <w:ilvl w:val="0"/>
          <w:numId w:val="3"/>
        </w:numPr>
        <w:spacing w:line="200" w:lineRule="exac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探测器覆盖区域内，以正常的速度进行测试，此时指示灯</w:t>
      </w:r>
      <w:proofErr w:type="gramStart"/>
      <w:r>
        <w:rPr>
          <w:rFonts w:ascii="微软雅黑" w:eastAsia="微软雅黑" w:hAnsi="微软雅黑" w:cs="微软雅黑" w:hint="eastAsia"/>
          <w:sz w:val="15"/>
          <w:szCs w:val="15"/>
        </w:rPr>
        <w:t>亮表示</w:t>
      </w:r>
      <w:proofErr w:type="gramEnd"/>
      <w:r>
        <w:rPr>
          <w:rFonts w:ascii="微软雅黑" w:eastAsia="微软雅黑" w:hAnsi="微软雅黑" w:cs="微软雅黑" w:hint="eastAsia"/>
          <w:sz w:val="15"/>
          <w:szCs w:val="15"/>
        </w:rPr>
        <w:t>被触发，探测器进入报警状态，人离开后约5秒自恢复检测状态。</w:t>
      </w:r>
    </w:p>
    <w:p w14:paraId="00A8E984" w14:textId="77777777" w:rsidR="002A0F77" w:rsidRDefault="00C711E3">
      <w:pPr>
        <w:numPr>
          <w:ilvl w:val="0"/>
          <w:numId w:val="3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NO NC用于选择继电器常开常闭输出,出厂设置NC常闭状态。</w:t>
      </w:r>
    </w:p>
    <w:p w14:paraId="6B131E54" w14:textId="77777777" w:rsidR="002A0F77" w:rsidRDefault="00C711E3">
      <w:pPr>
        <w:numPr>
          <w:ilvl w:val="0"/>
          <w:numId w:val="3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LED 跳</w:t>
      </w:r>
      <w:proofErr w:type="gramStart"/>
      <w:r>
        <w:rPr>
          <w:rFonts w:ascii="微软雅黑" w:eastAsia="微软雅黑" w:hAnsi="微软雅黑" w:cs="微软雅黑" w:hint="eastAsia"/>
          <w:sz w:val="15"/>
          <w:szCs w:val="15"/>
        </w:rPr>
        <w:t>针用于</w:t>
      </w:r>
      <w:proofErr w:type="gramEnd"/>
      <w:r>
        <w:rPr>
          <w:rFonts w:ascii="微软雅黑" w:eastAsia="微软雅黑" w:hAnsi="微软雅黑" w:cs="微软雅黑" w:hint="eastAsia"/>
          <w:sz w:val="15"/>
          <w:szCs w:val="15"/>
        </w:rPr>
        <w:t>选择LED亮灭，不影响探测器正常工作，为了增加隐蔽性，测试完毕后可将LED挑选选择OFF状态（关闭）。</w:t>
      </w:r>
    </w:p>
    <w:p w14:paraId="577F7141" w14:textId="77777777" w:rsidR="002A0F77" w:rsidRDefault="00C711E3">
      <w:pPr>
        <w:numPr>
          <w:ilvl w:val="0"/>
          <w:numId w:val="3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6m/8m跳</w:t>
      </w:r>
      <w:proofErr w:type="gramStart"/>
      <w:r>
        <w:rPr>
          <w:rFonts w:ascii="微软雅黑" w:eastAsia="微软雅黑" w:hAnsi="微软雅黑" w:cs="微软雅黑" w:hint="eastAsia"/>
          <w:sz w:val="15"/>
          <w:szCs w:val="15"/>
        </w:rPr>
        <w:t>针用于</w:t>
      </w:r>
      <w:proofErr w:type="gramEnd"/>
      <w:r>
        <w:rPr>
          <w:rFonts w:ascii="微软雅黑" w:eastAsia="微软雅黑" w:hAnsi="微软雅黑" w:cs="微软雅黑" w:hint="eastAsia"/>
          <w:sz w:val="15"/>
          <w:szCs w:val="15"/>
        </w:rPr>
        <w:t>调节探测范围，壁挂距离为6-8米/8-12m米可选，出厂设置为12米。</w:t>
      </w:r>
    </w:p>
    <w:p w14:paraId="4F28AFD7" w14:textId="77777777" w:rsidR="002A0F77" w:rsidRDefault="00C711E3">
      <w:pPr>
        <w:numPr>
          <w:ilvl w:val="0"/>
          <w:numId w:val="3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防拆开关方式，当外壳被打开时，探测器通过TAMPER端口</w:t>
      </w:r>
      <w:proofErr w:type="gramStart"/>
      <w:r>
        <w:rPr>
          <w:rFonts w:ascii="微软雅黑" w:eastAsia="微软雅黑" w:hAnsi="微软雅黑" w:cs="微软雅黑" w:hint="eastAsia"/>
          <w:sz w:val="15"/>
          <w:szCs w:val="15"/>
        </w:rPr>
        <w:t>输出防拆报警信号</w:t>
      </w:r>
      <w:proofErr w:type="gramEnd"/>
      <w:r>
        <w:rPr>
          <w:rFonts w:ascii="微软雅黑" w:eastAsia="微软雅黑" w:hAnsi="微软雅黑" w:cs="微软雅黑" w:hint="eastAsia"/>
          <w:sz w:val="15"/>
          <w:szCs w:val="15"/>
        </w:rPr>
        <w:t>。</w:t>
      </w:r>
    </w:p>
    <w:p w14:paraId="66EEB427" w14:textId="77777777" w:rsidR="002A0F77" w:rsidRDefault="00C711E3">
      <w:pPr>
        <w:jc w:val="left"/>
        <w:rPr>
          <w:rFonts w:ascii="微软雅黑" w:eastAsia="微软雅黑" w:hAnsi="微软雅黑" w:cs="微软雅黑"/>
          <w:b/>
          <w:bCs/>
          <w:sz w:val="18"/>
          <w:szCs w:val="18"/>
          <w:shd w:val="clear" w:color="FFFFFF" w:fill="D9D9D9"/>
        </w:rPr>
      </w:pPr>
      <w:r>
        <w:rPr>
          <w:rFonts w:ascii="微软雅黑" w:eastAsia="微软雅黑" w:hAnsi="微软雅黑" w:cs="微软雅黑" w:hint="eastAsia"/>
          <w:b/>
          <w:bCs/>
          <w:sz w:val="18"/>
          <w:szCs w:val="18"/>
          <w:shd w:val="clear" w:color="FFFFFF" w:fill="D9D9D9"/>
        </w:rPr>
        <w:t>注意事项</w:t>
      </w:r>
    </w:p>
    <w:p w14:paraId="6E822F55" w14:textId="77777777" w:rsidR="002A0F77" w:rsidRDefault="00C711E3">
      <w:pPr>
        <w:numPr>
          <w:ilvl w:val="0"/>
          <w:numId w:val="4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请按说明书正确的安装和使用，不可触摸传感器表面，以免影响探测灵敏度，如需清洁传感器，请断电后用软布沾少许酒精擦拭。</w:t>
      </w:r>
    </w:p>
    <w:p w14:paraId="135EB0B0" w14:textId="77777777" w:rsidR="002A0F77" w:rsidRDefault="00C711E3">
      <w:pPr>
        <w:numPr>
          <w:ilvl w:val="0"/>
          <w:numId w:val="4"/>
        </w:numPr>
        <w:spacing w:line="200" w:lineRule="exact"/>
        <w:jc w:val="left"/>
        <w:rPr>
          <w:rFonts w:ascii="微软雅黑" w:eastAsia="微软雅黑" w:hAnsi="微软雅黑" w:cs="微软雅黑"/>
          <w:sz w:val="15"/>
          <w:szCs w:val="15"/>
        </w:rPr>
      </w:pPr>
      <w:r>
        <w:rPr>
          <w:rFonts w:ascii="微软雅黑" w:eastAsia="微软雅黑" w:hAnsi="微软雅黑" w:cs="微软雅黑" w:hint="eastAsia"/>
          <w:sz w:val="15"/>
          <w:szCs w:val="15"/>
        </w:rPr>
        <w:t>应避免温度变化过大的环境下使用。</w:t>
      </w:r>
    </w:p>
    <w:sectPr w:rsidR="002A0F77">
      <w:headerReference w:type="default" r:id="rId14"/>
      <w:pgSz w:w="16838" w:h="11906" w:orient="landscape"/>
      <w:pgMar w:top="1803" w:right="1440" w:bottom="1803" w:left="1440" w:header="851" w:footer="992" w:gutter="0"/>
      <w:cols w:num="3" w:space="720" w:equalWidth="0">
        <w:col w:w="4369" w:space="425"/>
        <w:col w:w="4369" w:space="425"/>
        <w:col w:w="4369"/>
      </w:cols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9051C" w14:textId="77777777" w:rsidR="00126E99" w:rsidRDefault="00126E99" w:rsidP="00C61265">
      <w:r>
        <w:separator/>
      </w:r>
    </w:p>
  </w:endnote>
  <w:endnote w:type="continuationSeparator" w:id="0">
    <w:p w14:paraId="305BDB79" w14:textId="77777777" w:rsidR="00126E99" w:rsidRDefault="00126E99" w:rsidP="00C6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12620" w14:textId="77777777" w:rsidR="00126E99" w:rsidRDefault="00126E99" w:rsidP="00C61265">
      <w:r>
        <w:separator/>
      </w:r>
    </w:p>
  </w:footnote>
  <w:footnote w:type="continuationSeparator" w:id="0">
    <w:p w14:paraId="298A37FE" w14:textId="77777777" w:rsidR="00126E99" w:rsidRDefault="00126E99" w:rsidP="00C6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FA59" w14:textId="7AC27CC4" w:rsidR="00C61265" w:rsidRDefault="009B41C8" w:rsidP="00C61265">
    <w:pPr>
      <w:pStyle w:val="a5"/>
      <w:ind w:firstLineChars="6600" w:firstLine="11880"/>
      <w:jc w:val="both"/>
    </w:pPr>
    <w:r>
      <w:rPr>
        <w:rFonts w:hint="eastAsia"/>
      </w:rPr>
      <w:t>思特电子设备有限公司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99CE59"/>
    <w:multiLevelType w:val="singleLevel"/>
    <w:tmpl w:val="8899CE5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E52F835"/>
    <w:multiLevelType w:val="singleLevel"/>
    <w:tmpl w:val="BE52F83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6671A35D"/>
    <w:multiLevelType w:val="singleLevel"/>
    <w:tmpl w:val="6671A35D"/>
    <w:lvl w:ilvl="0">
      <w:start w:val="1"/>
      <w:numFmt w:val="bullet"/>
      <w:lvlText w:val=""/>
      <w:lvlJc w:val="left"/>
      <w:pPr>
        <w:ind w:left="170" w:hanging="170"/>
      </w:pPr>
      <w:rPr>
        <w:rFonts w:ascii="Wingdings" w:hAnsi="Wingdings" w:hint="default"/>
        <w:sz w:val="15"/>
      </w:rPr>
    </w:lvl>
  </w:abstractNum>
  <w:abstractNum w:abstractNumId="3" w15:restartNumberingAfterBreak="0">
    <w:nsid w:val="79ADA366"/>
    <w:multiLevelType w:val="multilevel"/>
    <w:tmpl w:val="79ADA366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attachedTemplate r:id="rId1"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1F00AB"/>
    <w:rsid w:val="00126E99"/>
    <w:rsid w:val="002A0F77"/>
    <w:rsid w:val="009B41C8"/>
    <w:rsid w:val="00C61265"/>
    <w:rsid w:val="00C711E3"/>
    <w:rsid w:val="014C3572"/>
    <w:rsid w:val="03040C5A"/>
    <w:rsid w:val="049C5E2D"/>
    <w:rsid w:val="05E71F00"/>
    <w:rsid w:val="08715D74"/>
    <w:rsid w:val="08CE7260"/>
    <w:rsid w:val="09551580"/>
    <w:rsid w:val="0F8F5444"/>
    <w:rsid w:val="137129E3"/>
    <w:rsid w:val="15D515BC"/>
    <w:rsid w:val="16267EF5"/>
    <w:rsid w:val="17EA3C1E"/>
    <w:rsid w:val="19E17AC5"/>
    <w:rsid w:val="1A090473"/>
    <w:rsid w:val="1C4148D3"/>
    <w:rsid w:val="1C7E3461"/>
    <w:rsid w:val="1E866CB5"/>
    <w:rsid w:val="23D16940"/>
    <w:rsid w:val="245F5D02"/>
    <w:rsid w:val="24C4124B"/>
    <w:rsid w:val="252C786A"/>
    <w:rsid w:val="2B8E3239"/>
    <w:rsid w:val="2D5A0006"/>
    <w:rsid w:val="2EC06BF2"/>
    <w:rsid w:val="2FF46F2E"/>
    <w:rsid w:val="31911EAE"/>
    <w:rsid w:val="32863AA3"/>
    <w:rsid w:val="36D1110A"/>
    <w:rsid w:val="390E2362"/>
    <w:rsid w:val="39B0292A"/>
    <w:rsid w:val="3C4F32AE"/>
    <w:rsid w:val="3D481AA9"/>
    <w:rsid w:val="3E3F00D8"/>
    <w:rsid w:val="3EA153AB"/>
    <w:rsid w:val="445A4C55"/>
    <w:rsid w:val="473316D3"/>
    <w:rsid w:val="48D14E24"/>
    <w:rsid w:val="490B6A2B"/>
    <w:rsid w:val="49811D9C"/>
    <w:rsid w:val="4FE04164"/>
    <w:rsid w:val="51231CA4"/>
    <w:rsid w:val="52412BE7"/>
    <w:rsid w:val="5361335F"/>
    <w:rsid w:val="54A51F27"/>
    <w:rsid w:val="57356BA6"/>
    <w:rsid w:val="5896197A"/>
    <w:rsid w:val="59367989"/>
    <w:rsid w:val="5C7E5D7B"/>
    <w:rsid w:val="5D175B96"/>
    <w:rsid w:val="5DE354BB"/>
    <w:rsid w:val="61A6571F"/>
    <w:rsid w:val="61D65260"/>
    <w:rsid w:val="641F00AB"/>
    <w:rsid w:val="645D15DC"/>
    <w:rsid w:val="6B91296E"/>
    <w:rsid w:val="6CDC4AF5"/>
    <w:rsid w:val="6D0C5458"/>
    <w:rsid w:val="6D28225F"/>
    <w:rsid w:val="6D535020"/>
    <w:rsid w:val="71DF3055"/>
    <w:rsid w:val="74512602"/>
    <w:rsid w:val="74923DC0"/>
    <w:rsid w:val="780B6F9D"/>
    <w:rsid w:val="7861539A"/>
    <w:rsid w:val="7AF33FEC"/>
    <w:rsid w:val="7C907265"/>
    <w:rsid w:val="7EB80396"/>
    <w:rsid w:val="7F5F7EC9"/>
    <w:rsid w:val="7FDC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AA5042"/>
  <w15:docId w15:val="{87EE2F2B-F6AE-4487-A0AB-6C80CB09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C61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6126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C61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6126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uanga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11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chuangan</dc:creator>
  <cp:lastModifiedBy>wenhao huang</cp:lastModifiedBy>
  <cp:revision>5</cp:revision>
  <cp:lastPrinted>2019-02-26T06:12:00Z</cp:lastPrinted>
  <dcterms:created xsi:type="dcterms:W3CDTF">2019-02-23T05:41:00Z</dcterms:created>
  <dcterms:modified xsi:type="dcterms:W3CDTF">2021-06-22T01:17:00Z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